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458" w:rsidRDefault="00C91458" w:rsidP="00C9145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color w:val="262626"/>
          <w:sz w:val="28"/>
          <w:szCs w:val="28"/>
        </w:rPr>
      </w:pPr>
      <w:bookmarkStart w:id="0" w:name="_GoBack"/>
      <w:r>
        <w:rPr>
          <w:rFonts w:ascii="Trebuchet MS" w:hAnsi="Trebuchet MS" w:cs="Trebuchet MS"/>
          <w:b/>
          <w:bCs/>
          <w:color w:val="262626"/>
          <w:sz w:val="28"/>
          <w:szCs w:val="28"/>
        </w:rPr>
        <w:t>Consiglio di Stato sez. V 8/11/2011 n. 5892</w:t>
      </w:r>
    </w:p>
    <w:bookmarkEnd w:id="0"/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proofErr w:type="gramStart"/>
      <w:r>
        <w:rPr>
          <w:rFonts w:ascii="Trebuchet MS" w:hAnsi="Trebuchet MS" w:cs="Trebuchet MS"/>
          <w:b/>
          <w:bCs/>
          <w:color w:val="262626"/>
          <w:sz w:val="28"/>
          <w:szCs w:val="28"/>
        </w:rPr>
        <w:t>Gara di appalto- Partecipazione ATI- Necessaria corrispondenza tra quote di partecipazione e quote di esecuzione</w:t>
      </w:r>
      <w:proofErr w:type="gramEnd"/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 xml:space="preserve">La questione centrale sottesa al presente giudizio è risolta dal più recente indirizzo giurisprudenziale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di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questo Consiglio (cfr., oltre le pronunce dianzi indicate, sez. V, 19 settembre 2011, n. 5279; sez. V, 12 febbraio 2010, n. 744), nel senso che dal compendio delle norme enucleabili dall’art. 37,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c.p.a.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>, si desume che, quale che sia il settore dell’appalto (lavori, servizi, forniture), l’a.t.i. offerente deve indicare sia le quote di partecipazione all’a.t.i. di ciascun componente, sia le quote di esecuzione dell’appalto e vi deve essere corrispondenza tra quota di partecipazione e quota di esecuzione. Tale obbligo di duplice indicazione è espressione di un principio generale che prescinde dall’assoggettamento della gara alla disciplina comunitaria e non consente distinzioni legate alla morfologia del raggruppamento (verticale o orizzontale), o alla tipologia delle prestazioni (principali o secondarie, scorporabili o unitarie).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N. 05892/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2011REG.PROV.COLL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>.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 xml:space="preserve">N. 02776/2009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REG.RIC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>.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REPUBBLICA ITALIANA</w:t>
      </w:r>
      <w:proofErr w:type="gramEnd"/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IN NOME DEL POPOLO ITALIANO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Il Consiglio di Stato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in sede giurisdizionale (Sezione Quinta)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ha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pronunciato la presente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SENTENZA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sul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ricorso numero di registro generale 2776 del 2009, proposto dall’Impresa Calabro Inerti S.r.l. in proprio e nella qualità di capogruppo del’a.t.i. costituita con l’Impresa Cestari Francesco Mario S.r.l., in persona del legale rappresentante pro tempore, rappresentato e difeso dagli avvocati Oreste Morcavallo e Herman Altomare, con domicilio eletto presso lo studio Morcavallo in Roma, via Arno n. 6;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contro</w:t>
      </w:r>
      <w:proofErr w:type="gramEnd"/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Valori S.c.a.r.l. Consorzio Stabile, in persona del legale rappresentante pro tempore, rappresentato e difeso dagli avvocati Pierluigi Pisel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>li e Claudio De Portu, con domicilio eletto presso lo studio legale Cancrini – Piselli in Roma, via Giuseppe Mercalli n. 13;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lastRenderedPageBreak/>
        <w:t xml:space="preserve">nei confronti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di</w:t>
      </w:r>
      <w:proofErr w:type="gramEnd"/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Comune di Cosenza, in persona del sindaco pro tempore, rappresentato e difeso dall’avvocato Agostino Rosselli, con domicilio eletto presso T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>onino Presta in Roma, via P. Alpino, n. 76;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Idromax S.r.l. in proprio e quale mandataria costituenda con l’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a.t.i.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Idroelettra di Domenico Buonafortuna e Attico S.o.a. S.p.A., in persona del legale rappresentante pro tempore, non costituito;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per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la riforma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della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sentenza del T.a.r. Calabria – Catanzaro – Sezione II, n. 1638 del 9 dicembre 2008.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 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Visti il ricorso in appello e i relativi allegati;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 xml:space="preserve">Visto l’atto di costituzione in giudizio dell’impresa Valori S.c.a.r.l. Consorzio Stabile (in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prosieguo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impresa Valori), e del comune di Cosenza;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 xml:space="preserve">Visto l’atto di costituzione in giudizio del comune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di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Cosenza: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Viste le memorie difensive depositate dall’impresa Valori in data 18 maggio 2009 e 19 ottobre 2011;</w:t>
      </w:r>
      <w:proofErr w:type="gramEnd"/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Visti tutti gli atti della causa;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 xml:space="preserve">Visti gli artt. 74 e 120, co. 10,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cod.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proc. amm.;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Relatore nell’udienza pubblica del giorno 4 novembre 2011 il consigliere Vito Poli e uditi per le parti gli avvocati Clarizia, su delega dell’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avvocato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Morcavallo, De Portu e Presta su delega dell’avvocato Rosselli;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Ritenuto e considerato in fatto e diritto quanto segue.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FATTO e DIRITTO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 xml:space="preserve">1. L’impresa Valori ha impugnato davanti al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T.a.r.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della Calabria, con ricorso principale e motivi aggiunti, i seguenti atti: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a) l’aggiudicazione provvisoria, in favore dell’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a.t.i.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capeggiata dall’Impresa Idromax, della gara di appalto di lavori per l’ammodernamento della rete urbana di distribuzione idrica indetta dal comune di Cosenza;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b) la mancata esclusione dell’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a.t.i.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capeggiata dalla Manfredi s.r.l., dell’a.t.i. capeggiata dalla Calabro Inerti s.r.l. (in prosieguo impresa Calabro, odierna appellante), dell’a.t.i. capeggiata dalla GE.FIN.ROM. s.r.l.;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 xml:space="preserve">c) la successiva aggiudicazione provvisoria in favore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 xml:space="preserve">della 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>impresa Calabro.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 xml:space="preserve">2. L’impugnata sentenza –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T.a.r.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Calabria – Catanzaro – Sezione II, n. 1638 del 9 dicembre 2008 -: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 xml:space="preserve">a) ha respinto l’eccezione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 xml:space="preserve">di 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>inammissibilità del ricorso di primo grado (capo non impugnato),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b) ha dichiarato improcedibile il ricorso proposto avverso l’aggiudicazione provvisoria in favore della ditta Idromax e la mancata esclusione della ditta Manfredi (capo non impugnato);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 xml:space="preserve">c) ha dichiarato l’obbligo, enucleato dalle norme e dai principi ritraibili dall’art. 37, co. 3,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4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>, 9 e 13, d.lgs. n. 163 del 2006, per le imprese partecipanti in a.t.i. alla gara, pure nel silenzio della lex specialis, di dichiarare le quote di partecipazione all’a.t.i. e le quote di esecuzione delle prestazioni;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d) ha annullato l’aggiudicazione provvisoria disposta in favore dell’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a.t.i.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capeggiata dall’impresa Calabro;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 xml:space="preserve">e) ha dichiarato inammissibile la domanda di risarcimento del danno proposta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 xml:space="preserve">dalla 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>impresa Valori (capo non impugnato);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f) ha compensato le spese di lite.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 xml:space="preserve">3. Con ricorso ritualmente notificato e depositato l’impresa Calabro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ha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interposto appello sostenendo che, in mancanza di una espressa clausola della legge di gara, le imprese che partecipano in a.t.i. ad una gara di appalto di lavori non devono, a mente dell’art.37, d.lgs. n. 163 del 2006, specificare le quote di partecipazione e quelle di esecuzione dei lavori, trattandosi di obbligo che sovviene nella fase di esecuzione del contratto e non in quella di partecipazione alla procedura.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4. Si è costituita l’impresa Valori deducendo l’infondatezza del gravame in fatto e diritto; si è costituito il comune di Cosenza per aderire all’appello.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5. Con ordinanza di questa sezione n. 2558 del 19 maggio 2009 è stata respinta l’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istanza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di sospensione degli effetti dell’impugnata sentenza &lt;&lt;Considerato che la sentenza impugnata si presenta allineata al più recente indirizzo interpretativo della Sezione (v. sul punto, le decisioni n. 2079/2008 e n. 3973/2009)&gt;&gt;.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6. La causa è passata in decisione alla pubblica udienza del 4 novembre 2011.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7. L’appello è infondato e deve essere respinto.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 xml:space="preserve">8.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Successivamente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alla pubblicazione della menzionata ordinanza cautelare n. 2558 del 2009, la parte appellante ed il comune di Cosenza non hanno depositato memorie o note per confutarne il contenuto.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Il consorzio Valori, invece, ha depositato ampia memoria conclusionale (del 18 ottobre 2011).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 xml:space="preserve">Il collegio, pertanto, può limitarsi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ad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osservare, in sintesi, ex artt. 74 e 120, co. 10,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c.p.a.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, che la questione centrale sottesa al presente giudizio è risolta dal più recente indirizzo giurisprudenziale di questo Consiglio (cfr., oltre le pronunce dianzi indicate, sez. V, 19 settembre 2011, n. 5279; sez. V, 12 febbraio 2010, n. 744), nel senso che dal compendio delle norme enucleabili dall’art. 37,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c.p.a.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>, si desume che, quale che sia il settore dell’appalto (lavori, servizi, forniture), l’a.t.i. offerente deve indicare sia le quote di partecipazione all’a.t.i. di ciascun componente, sia le quote di esecuzione dell’appalto e vi deve essere corrispondenza tra quota di partecipazione e quota di esecuzione. Tale obbligo di duplice indicazione è espressione di un principio generale che prescinde dall’assoggettamento della gara alla disciplina comunitaria e non consente distinzioni legate alla morfologia del raggruppamento (verticale o orizzontale), o alla tipologia delle prestazioni (principali o secondarie, scorporabili o unitarie).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 xml:space="preserve">Il consolidarsi dell’indirizzo giurisprudenziale sopra riportato induce il collegio a disattendere la richiesta, formulata dall’impresa Calabro e dal comune di Cosenza, di rimessione dell’affare all’adunanza plenaria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del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Consiglio di Stato.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 xml:space="preserve">9. Sulla scorta delle rassegnate conclusioni è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giocoforza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respingere l’appello.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 xml:space="preserve">10. Le spese del giudizio,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regolamentate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secondo l’ordinario criterio della soccombenza, sono liquidate in dispositivo.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P.Q.M.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 xml:space="preserve">Il Consiglio di Stato in sede giurisdizionale (Sezione Quinta), definitivamente pronunciando sul ricorso, come in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epigrafe proposto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>: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a) respinge l’appello e, per l’effetto, conferma l’impugnata sentenza;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 xml:space="preserve">b) condanna l’Impresa Calabro Inerti S.r.l., in proprio e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nella qualità di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capogruppo del’a.t.i. costituita con l’Impresa Cestari Francesco Mario S.r.l., e il comune di Cosenza, in solido fra loro, a rifondere in favore dell’impresa Valori S.c.a.r.l. Consorzio Stabile, le spese, le competenze e gli onorari del presente grado di giudizio che liquida in complessivi euro 6.000/00 (seimila/00), oltre accessori come per legge (12,50% a titolo di spese generali, I.V.A. e C.P.A.).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Ordina che la presente sentenza sia eseguita dall’autorità amministrativa.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Così deciso in Roma nella camera di consiglio del giorno 4 novembre 2011 con l’intervento dei magistrati: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Marzio Branca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>, Presidente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Vito Poli, Consigliere, Estensore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Francesco Caringella, Consigliere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Eugenio Mele, Consigliere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Antonio Bianchi, Consigliere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L’ESTENSORE IL PRESIDENTE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DEPOSITATA IN SEGRETERIA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Il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08/11/2011</w:t>
      </w:r>
    </w:p>
    <w:p w:rsidR="00C91458" w:rsidRDefault="00C91458" w:rsidP="00C91458">
      <w:pPr>
        <w:widowControl w:val="0"/>
        <w:autoSpaceDE w:val="0"/>
        <w:autoSpaceDN w:val="0"/>
        <w:adjustRightInd w:val="0"/>
        <w:spacing w:after="200"/>
        <w:jc w:val="both"/>
        <w:rPr>
          <w:rFonts w:ascii="Trebuchet MS" w:hAnsi="Trebuchet MS" w:cs="Trebuchet MS"/>
          <w:color w:val="262626"/>
          <w:sz w:val="28"/>
          <w:szCs w:val="28"/>
        </w:rPr>
      </w:pPr>
      <w:r>
        <w:rPr>
          <w:rFonts w:ascii="Trebuchet MS" w:hAnsi="Trebuchet MS" w:cs="Trebuchet MS"/>
          <w:color w:val="262626"/>
          <w:sz w:val="28"/>
          <w:szCs w:val="28"/>
        </w:rPr>
        <w:t>IL SEGRETARIO</w:t>
      </w:r>
    </w:p>
    <w:p w:rsidR="0071152D" w:rsidRDefault="00C91458" w:rsidP="00C91458"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(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Art. 89, co. 3, </w:t>
      </w:r>
      <w:proofErr w:type="gramStart"/>
      <w:r>
        <w:rPr>
          <w:rFonts w:ascii="Trebuchet MS" w:hAnsi="Trebuchet MS" w:cs="Trebuchet MS"/>
          <w:color w:val="262626"/>
          <w:sz w:val="28"/>
          <w:szCs w:val="28"/>
        </w:rPr>
        <w:t>cod.</w:t>
      </w:r>
      <w:proofErr w:type="gramEnd"/>
      <w:r>
        <w:rPr>
          <w:rFonts w:ascii="Trebuchet MS" w:hAnsi="Trebuchet MS" w:cs="Trebuchet MS"/>
          <w:color w:val="262626"/>
          <w:sz w:val="28"/>
          <w:szCs w:val="28"/>
        </w:rPr>
        <w:t xml:space="preserve"> proc. amm.)</w:t>
      </w:r>
    </w:p>
    <w:sectPr w:rsidR="0071152D" w:rsidSect="00B952D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58"/>
    <w:rsid w:val="0071152D"/>
    <w:rsid w:val="00B952D0"/>
    <w:rsid w:val="00C9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6DF6B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1317</Words>
  <Characters>7512</Characters>
  <Application>Microsoft Macintosh Word</Application>
  <DocSecurity>0</DocSecurity>
  <Lines>62</Lines>
  <Paragraphs>17</Paragraphs>
  <ScaleCrop>false</ScaleCrop>
  <Company/>
  <LinksUpToDate>false</LinksUpToDate>
  <CharactersWithSpaces>8812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valerix valerix</dc:creator>
  <cp:keywords/>
  <dc:description/>
  <cp:lastModifiedBy>valerix valerix</cp:lastModifiedBy>
  <cp:revision>1</cp:revision>
  <dcterms:created xsi:type="dcterms:W3CDTF">2014-01-20T16:35:00Z</dcterms:created>
  <dcterms:modified xsi:type="dcterms:W3CDTF">2014-01-20T16:35:00Z</dcterms:modified>
</cp:coreProperties>
</file>