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9D1" w:rsidRDefault="008829D1" w:rsidP="008829D1">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TAR Lazio Roma sez. III quater 9/1/2012 n. 160</w:t>
      </w:r>
    </w:p>
    <w:bookmarkEnd w:id="0"/>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b/>
          <w:bCs/>
          <w:color w:val="262626"/>
          <w:sz w:val="28"/>
          <w:szCs w:val="28"/>
        </w:rPr>
        <w:t>Appalti di forniture o servizi – ATI – Corrispondenza quote di partecipazione e quote di esecuzione – Ratio</w:t>
      </w:r>
      <w:proofErr w:type="gramEnd"/>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4° comma </w:t>
      </w:r>
      <w:proofErr w:type="gramStart"/>
      <w:r>
        <w:rPr>
          <w:rFonts w:ascii="Trebuchet MS" w:hAnsi="Trebuchet MS" w:cs="Trebuchet MS"/>
          <w:color w:val="262626"/>
          <w:sz w:val="28"/>
          <w:szCs w:val="28"/>
        </w:rPr>
        <w:t xml:space="preserve">dell’ </w:t>
      </w:r>
      <w:proofErr w:type="gramEnd"/>
      <w:r>
        <w:rPr>
          <w:rFonts w:ascii="Trebuchet MS" w:hAnsi="Trebuchet MS" w:cs="Trebuchet MS"/>
          <w:color w:val="262626"/>
          <w:sz w:val="28"/>
          <w:szCs w:val="28"/>
        </w:rPr>
        <w:t xml:space="preserve">art. 37, d.lgs. n. 163 del 2006 recita: &lt;&lt;Nel caso di forniture o servizi nell’offerta devono essere specificate le parti del servizio o della fornitura che saranno eseguite dai singoli operatori economici riuniti o consorziati&gt;&gt;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13° comma della stessa norma statuisce che &lt;&lt;I concorrenti riuniti in raggruppamento temporaneo devono eseguire le prestazioni nella percentuale corrispondente alla quota di partecipazione al raggruppamento&gt;&gt;.</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 consegue che, senza possibilità di equivoci nell’interpretazione letterale delle riportate disposizioni, sussiste a carico delle imprese riunite l’obbligo di specificare la quantità delle prestazioni che saranno eseguite da ciascuna di esse e le quote di partecipazione.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riguardo </w:t>
      </w: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Consiglio di Stato ha avuto modo di precisare che “Tale obbligo è espressione di un principio generale che prescinde dall’assoggettamento della gara alla disciplina comunitaria e non consente distinzioni legate alla natura morfologica del raggruppamento (verticale o orizzontale), o alla tipologia delle prestazioni (principali o secondarie, scorporabili o unitarie, cfr. </w:t>
      </w:r>
      <w:proofErr w:type="spellStart"/>
      <w:r>
        <w:rPr>
          <w:rFonts w:ascii="Trebuchet MS" w:hAnsi="Trebuchet MS" w:cs="Trebuchet MS"/>
          <w:color w:val="262626"/>
          <w:sz w:val="28"/>
          <w:szCs w:val="28"/>
        </w:rPr>
        <w:t>Cons</w:t>
      </w:r>
      <w:proofErr w:type="spellEnd"/>
      <w:r>
        <w:rPr>
          <w:rFonts w:ascii="Trebuchet MS" w:hAnsi="Trebuchet MS" w:cs="Trebuchet MS"/>
          <w:color w:val="262626"/>
          <w:sz w:val="28"/>
          <w:szCs w:val="28"/>
        </w:rPr>
        <w:t>. St., Sez. V, 18 agosto 2009, n. 5098; Sez. VI, 4 maggio 2009, n. 2783; Sez. V, 14 gennaio 2009, n. 98, rese su fattispecie governate dalle analoghe disposizioni sancite dal d.lgs. n. 157 del 1995).” E che siffatte disposizioni trovano la loro ratio nella necessità di assicurare le seguenti esigenze di pubblico interesse: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conoscenza preventiva, da parte della stazione appaltante, di chi sarà il soggetto che esegue il servizio e la parte specifica del </w:t>
      </w:r>
      <w:proofErr w:type="gramStart"/>
      <w:r>
        <w:rPr>
          <w:rFonts w:ascii="Trebuchet MS" w:hAnsi="Trebuchet MS" w:cs="Trebuchet MS"/>
          <w:color w:val="262626"/>
          <w:sz w:val="28"/>
          <w:szCs w:val="28"/>
        </w:rPr>
        <w:t>servizio</w:t>
      </w:r>
      <w:proofErr w:type="gramEnd"/>
      <w:r>
        <w:rPr>
          <w:rFonts w:ascii="Trebuchet MS" w:hAnsi="Trebuchet MS" w:cs="Trebuchet MS"/>
          <w:color w:val="262626"/>
          <w:sz w:val="28"/>
          <w:szCs w:val="28"/>
        </w:rPr>
        <w:t xml:space="preserve"> ripartito e svolto dalle singole imprese al fine di rendere più spedita l’esecuzione del rapporto individuando il responsabile;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agevole verifica, da parte del responsabile del procedimento, della competenza tecnica dell’esecutore comparata con la documentazione prodotta in sede di gara;</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 rendere effettiva la composizione del raggruppamento e rispondente alle esigenze di unire insieme capacità tecniche e finanziarie integrative e complementari e non a coprire la partecipazione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imprese non qualificate, aggirando così le norme di ammissione stabilite dal bando.” (</w:t>
      </w:r>
      <w:proofErr w:type="spellStart"/>
      <w:proofErr w:type="gramStart"/>
      <w:r>
        <w:rPr>
          <w:rFonts w:ascii="Trebuchet MS" w:hAnsi="Trebuchet MS" w:cs="Trebuchet MS"/>
          <w:color w:val="262626"/>
          <w:sz w:val="28"/>
          <w:szCs w:val="28"/>
        </w:rPr>
        <w:t>C.d.S</w:t>
      </w:r>
      <w:proofErr w:type="spellEnd"/>
      <w:proofErr w:type="gramEnd"/>
      <w:r>
        <w:rPr>
          <w:rFonts w:ascii="Trebuchet MS" w:hAnsi="Trebuchet MS" w:cs="Trebuchet MS"/>
          <w:color w:val="262626"/>
          <w:sz w:val="28"/>
          <w:szCs w:val="28"/>
        </w:rPr>
        <w:t xml:space="preserve"> Sez. V, 12 febbraio 2010, n. 744).</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00160/2012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08046/2011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lastRenderedPageBreak/>
        <w:t>REPUBBLICA ITALIANA</w:t>
      </w:r>
      <w:proofErr w:type="gramEnd"/>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il Lazio</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(Sezione Terza Quater)</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8046 del 2011, proposto da:</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L.G.R.</w:t>
      </w:r>
      <w:proofErr w:type="gramEnd"/>
      <w:r>
        <w:rPr>
          <w:rFonts w:ascii="Trebuchet MS" w:hAnsi="Trebuchet MS" w:cs="Trebuchet MS"/>
          <w:color w:val="262626"/>
          <w:sz w:val="28"/>
          <w:szCs w:val="28"/>
        </w:rPr>
        <w:t xml:space="preserve"> Appalti s.r.l., in persona del legale rappresentante </w:t>
      </w:r>
      <w:proofErr w:type="spellStart"/>
      <w:r>
        <w:rPr>
          <w:rFonts w:ascii="Trebuchet MS" w:hAnsi="Trebuchet MS" w:cs="Trebuchet MS"/>
          <w:color w:val="262626"/>
          <w:sz w:val="28"/>
          <w:szCs w:val="28"/>
        </w:rPr>
        <w:t>p.t.</w:t>
      </w:r>
      <w:proofErr w:type="spellEnd"/>
      <w:r>
        <w:rPr>
          <w:rFonts w:ascii="Trebuchet MS" w:hAnsi="Trebuchet MS" w:cs="Trebuchet MS"/>
          <w:color w:val="262626"/>
          <w:sz w:val="28"/>
          <w:szCs w:val="28"/>
        </w:rPr>
        <w:t xml:space="preserve">, in proprio e quale mandataria del costituendo RTI con Ferranti Tommaso s.r.l. e </w:t>
      </w:r>
      <w:proofErr w:type="spellStart"/>
      <w:r>
        <w:rPr>
          <w:rFonts w:ascii="Trebuchet MS" w:hAnsi="Trebuchet MS" w:cs="Trebuchet MS"/>
          <w:color w:val="262626"/>
          <w:sz w:val="28"/>
          <w:szCs w:val="28"/>
        </w:rPr>
        <w:t>Alli</w:t>
      </w:r>
      <w:proofErr w:type="spellEnd"/>
      <w:r>
        <w:rPr>
          <w:rFonts w:ascii="Trebuchet MS" w:hAnsi="Trebuchet MS" w:cs="Trebuchet MS"/>
          <w:color w:val="262626"/>
          <w:sz w:val="28"/>
          <w:szCs w:val="28"/>
        </w:rPr>
        <w:t xml:space="preserve"> Costruzioni s.r.l., rappresentata e difesa dall’avv. Gianluigi Pellegrino, con domicilio eletto presso il medesimo, in Roma, Corso Rinascimento, 11;</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Azienda Territoriale per l’Edilizia Residenziale Pubblica del Comune di Roma (ATER), in persona del legale rappresentante </w:t>
      </w:r>
      <w:proofErr w:type="spellStart"/>
      <w:r>
        <w:rPr>
          <w:rFonts w:ascii="Trebuchet MS" w:hAnsi="Trebuchet MS" w:cs="Trebuchet MS"/>
          <w:color w:val="262626"/>
          <w:sz w:val="28"/>
          <w:szCs w:val="28"/>
        </w:rPr>
        <w:t>p.t.</w:t>
      </w:r>
      <w:proofErr w:type="spellEnd"/>
      <w:r>
        <w:rPr>
          <w:rFonts w:ascii="Trebuchet MS" w:hAnsi="Trebuchet MS" w:cs="Trebuchet MS"/>
          <w:color w:val="262626"/>
          <w:sz w:val="28"/>
          <w:szCs w:val="28"/>
        </w:rPr>
        <w:t>, rappresentat</w:t>
      </w:r>
      <w:proofErr w:type="gramEnd"/>
      <w:r>
        <w:rPr>
          <w:rFonts w:ascii="Trebuchet MS" w:hAnsi="Trebuchet MS" w:cs="Trebuchet MS"/>
          <w:color w:val="262626"/>
          <w:sz w:val="28"/>
          <w:szCs w:val="28"/>
        </w:rPr>
        <w:t xml:space="preserve">a e difesa dall’avv. Gianluca Bravi, con domicilio eletto presso l’Avvocatura dell’Azienda, in Roma, via F. P. De </w:t>
      </w:r>
      <w:proofErr w:type="spellStart"/>
      <w:r>
        <w:rPr>
          <w:rFonts w:ascii="Trebuchet MS" w:hAnsi="Trebuchet MS" w:cs="Trebuchet MS"/>
          <w:color w:val="262626"/>
          <w:sz w:val="28"/>
          <w:szCs w:val="28"/>
        </w:rPr>
        <w:t>Calboli</w:t>
      </w:r>
      <w:proofErr w:type="spellEnd"/>
      <w:r>
        <w:rPr>
          <w:rFonts w:ascii="Trebuchet MS" w:hAnsi="Trebuchet MS" w:cs="Trebuchet MS"/>
          <w:color w:val="262626"/>
          <w:sz w:val="28"/>
          <w:szCs w:val="28"/>
        </w:rPr>
        <w:t>, 20;</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provvedimento, comunicato con nota del 22.9.2011, di esclusione dalla gara per l’affidamento dei lavori di manutenzione straordinaria e servizi di pronto intervento da eseguire sugli immobili per il periodo 2012-2014;</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ai sensi </w:t>
      </w:r>
      <w:proofErr w:type="gramStart"/>
      <w:r>
        <w:rPr>
          <w:rFonts w:ascii="Trebuchet MS" w:hAnsi="Trebuchet MS" w:cs="Trebuchet MS"/>
          <w:color w:val="262626"/>
          <w:sz w:val="28"/>
          <w:szCs w:val="28"/>
        </w:rPr>
        <w:t xml:space="preserve">dell’ </w:t>
      </w:r>
      <w:proofErr w:type="gramEnd"/>
      <w:r>
        <w:rPr>
          <w:rFonts w:ascii="Trebuchet MS" w:hAnsi="Trebuchet MS" w:cs="Trebuchet MS"/>
          <w:color w:val="262626"/>
          <w:sz w:val="28"/>
          <w:szCs w:val="28"/>
        </w:rPr>
        <w:t xml:space="preserve">art 120 </w:t>
      </w:r>
      <w:proofErr w:type="spellStart"/>
      <w:r>
        <w:rPr>
          <w:rFonts w:ascii="Trebuchet MS" w:hAnsi="Trebuchet MS" w:cs="Trebuchet MS"/>
          <w:color w:val="262626"/>
          <w:sz w:val="28"/>
          <w:szCs w:val="28"/>
        </w:rPr>
        <w:t>c.p.a</w:t>
      </w:r>
      <w:proofErr w:type="spellEnd"/>
      <w:r>
        <w:rPr>
          <w:rFonts w:ascii="Trebuchet MS" w:hAnsi="Trebuchet MS" w:cs="Trebuchet MS"/>
          <w:color w:val="262626"/>
          <w:sz w:val="28"/>
          <w:szCs w:val="28"/>
        </w:rPr>
        <w:t>.</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Visto l’atto di costituzione in giudizio dell’ATER;</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19 dicembre 2011 il Consigliere </w:t>
      </w:r>
      <w:proofErr w:type="spellStart"/>
      <w:r>
        <w:rPr>
          <w:rFonts w:ascii="Trebuchet MS" w:hAnsi="Trebuchet MS" w:cs="Trebuchet MS"/>
          <w:color w:val="262626"/>
          <w:sz w:val="28"/>
          <w:szCs w:val="28"/>
        </w:rPr>
        <w:t>Solveig</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Cogliani</w:t>
      </w:r>
      <w:proofErr w:type="spellEnd"/>
      <w:r>
        <w:rPr>
          <w:rFonts w:ascii="Trebuchet MS" w:hAnsi="Trebuchet MS" w:cs="Trebuchet MS"/>
          <w:color w:val="262626"/>
          <w:sz w:val="28"/>
          <w:szCs w:val="28"/>
        </w:rPr>
        <w:t xml:space="preserve"> e uditi per le parti i difensori come specificato nel verbale;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il ricorso indicato in epigrafe, la società istante, premesso che l’ATER di Roma aveva indetto una procedura aperta per l’appalto dei lavori di manutenzione straordinaria e servizi di pronto intervento da eseguire in immobili ERP di proprietà della stessa Azienda nel periodo 2012-2014, con il criterio dell’aggiudicazione in favore dell’offerta economicamente più vantaggiosa, </w:t>
      </w:r>
      <w:proofErr w:type="gramStart"/>
      <w:r>
        <w:rPr>
          <w:rFonts w:ascii="Trebuchet MS" w:hAnsi="Trebuchet MS" w:cs="Trebuchet MS"/>
          <w:color w:val="262626"/>
          <w:sz w:val="28"/>
          <w:szCs w:val="28"/>
        </w:rPr>
        <w:t>esponeva</w:t>
      </w:r>
      <w:proofErr w:type="gramEnd"/>
      <w:r>
        <w:rPr>
          <w:rFonts w:ascii="Trebuchet MS" w:hAnsi="Trebuchet MS" w:cs="Trebuchet MS"/>
          <w:color w:val="262626"/>
          <w:sz w:val="28"/>
          <w:szCs w:val="28"/>
        </w:rPr>
        <w:t xml:space="preserve"> di essere stata esclusa per omessa indicazione, da parte delle società mandanti dei soci o del socio di maggioranza nonché per la mancata dichiarazione di insussistenza delle cause di esclusione ad essi riferite e per non aver specificato le percentuali che ogni componente del costituendo RTI avrebbe dovuto assumere nell’esecuzione dei servizi, essendo state dichiarate dette percentuali unicamente con riguardo ai lavori. Infine, le necessarie referenze bancarie sono state ritenute </w:t>
      </w:r>
      <w:proofErr w:type="gramStart"/>
      <w:r>
        <w:rPr>
          <w:rFonts w:ascii="Trebuchet MS" w:hAnsi="Trebuchet MS" w:cs="Trebuchet MS"/>
          <w:color w:val="262626"/>
          <w:sz w:val="28"/>
          <w:szCs w:val="28"/>
        </w:rPr>
        <w:t>carenti e</w:t>
      </w:r>
      <w:proofErr w:type="gramEnd"/>
      <w:r>
        <w:rPr>
          <w:rFonts w:ascii="Trebuchet MS" w:hAnsi="Trebuchet MS" w:cs="Trebuchet MS"/>
          <w:color w:val="262626"/>
          <w:sz w:val="28"/>
          <w:szCs w:val="28"/>
        </w:rPr>
        <w:t xml:space="preserve"> difformi dallo schema indicato dalla Stazione appaltante.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Pertanto, le ricorrenti proponevano il gravame in esame, censurando l’esclusione dalla gara per i seguenti motivi:</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 eccesso di potere, con riferimento al primo motivo di esclusione, poiché entrambe le mandanti hanno dichiarato l’insussistenza delle cause di esclusione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cui all’art. 38, d.lgs. n. 163 del 2006 anche </w:t>
      </w:r>
      <w:proofErr w:type="gramStart"/>
      <w:r>
        <w:rPr>
          <w:rFonts w:ascii="Trebuchet MS" w:hAnsi="Trebuchet MS" w:cs="Trebuchet MS"/>
          <w:color w:val="262626"/>
          <w:sz w:val="28"/>
          <w:szCs w:val="28"/>
        </w:rPr>
        <w:t>in relazione ai</w:t>
      </w:r>
      <w:proofErr w:type="gramEnd"/>
      <w:r>
        <w:rPr>
          <w:rFonts w:ascii="Trebuchet MS" w:hAnsi="Trebuchet MS" w:cs="Trebuchet MS"/>
          <w:color w:val="262626"/>
          <w:sz w:val="28"/>
          <w:szCs w:val="28"/>
        </w:rPr>
        <w:t xml:space="preserve"> soci, atteso che nella </w:t>
      </w:r>
      <w:proofErr w:type="spellStart"/>
      <w:r>
        <w:rPr>
          <w:rFonts w:ascii="Trebuchet MS" w:hAnsi="Trebuchet MS" w:cs="Trebuchet MS"/>
          <w:color w:val="262626"/>
          <w:sz w:val="28"/>
          <w:szCs w:val="28"/>
        </w:rPr>
        <w:t>Alli</w:t>
      </w:r>
      <w:proofErr w:type="spellEnd"/>
      <w:r>
        <w:rPr>
          <w:rFonts w:ascii="Trebuchet MS" w:hAnsi="Trebuchet MS" w:cs="Trebuchet MS"/>
          <w:color w:val="262626"/>
          <w:sz w:val="28"/>
          <w:szCs w:val="28"/>
        </w:rPr>
        <w:t xml:space="preserve"> Costruzioni s.r.l. gli unici due soci sono anche rispettivamente legale rappresentante e direttore tecnico e nella Ferranti Tommaso s.r.l. il legale rappresentante e direttore tecnico è anche il socio di maggioranza, </w:t>
      </w:r>
      <w:proofErr w:type="spellStart"/>
      <w:r>
        <w:rPr>
          <w:rFonts w:ascii="Trebuchet MS" w:hAnsi="Trebuchet MS" w:cs="Trebuchet MS"/>
          <w:color w:val="262626"/>
          <w:sz w:val="28"/>
          <w:szCs w:val="28"/>
        </w:rPr>
        <w:t>sicchè</w:t>
      </w:r>
      <w:proofErr w:type="spellEnd"/>
      <w:r>
        <w:rPr>
          <w:rFonts w:ascii="Trebuchet MS" w:hAnsi="Trebuchet MS" w:cs="Trebuchet MS"/>
          <w:color w:val="262626"/>
          <w:sz w:val="28"/>
          <w:szCs w:val="28"/>
        </w:rPr>
        <w:t xml:space="preserve"> la prescrizione del bando si appalesa insufficiente, quanto alla forma, ad evidenziare la necessità di una prescrizione aggiuntiva rispetto a quanto prescritto dall’art. 38 sopra citato;</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 eccesso di potere </w:t>
      </w:r>
      <w:proofErr w:type="gramStart"/>
      <w:r>
        <w:rPr>
          <w:rFonts w:ascii="Trebuchet MS" w:hAnsi="Trebuchet MS" w:cs="Trebuchet MS"/>
          <w:color w:val="262626"/>
          <w:sz w:val="28"/>
          <w:szCs w:val="28"/>
        </w:rPr>
        <w:t>in relazione al</w:t>
      </w:r>
      <w:proofErr w:type="gramEnd"/>
      <w:r>
        <w:rPr>
          <w:rFonts w:ascii="Trebuchet MS" w:hAnsi="Trebuchet MS" w:cs="Trebuchet MS"/>
          <w:color w:val="262626"/>
          <w:sz w:val="28"/>
          <w:szCs w:val="28"/>
        </w:rPr>
        <w:t xml:space="preserve"> secondo motivo di esclusione, in quanto la specificazione usata dalle ricorrenti, che hanno inteso costituire un’ ATI orizzontale, della percentuale di esecuzione dell’appalto doveva essere riferita con riguardo sia ai lavori che ai servizi, essendo l’ulteriore indicazione “categoria OG1″ chiaramente da intendersi come precisazione riferita all’oggetto prevalente del contratto misto (poiché il 70% del valore dell’appalto consisteva nell’esecuzione dei lavori);</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 eccesso di potere </w:t>
      </w:r>
      <w:proofErr w:type="gramStart"/>
      <w:r>
        <w:rPr>
          <w:rFonts w:ascii="Trebuchet MS" w:hAnsi="Trebuchet MS" w:cs="Trebuchet MS"/>
          <w:color w:val="262626"/>
          <w:sz w:val="28"/>
          <w:szCs w:val="28"/>
        </w:rPr>
        <w:t>in relazione all’</w:t>
      </w:r>
      <w:proofErr w:type="gramEnd"/>
      <w:r>
        <w:rPr>
          <w:rFonts w:ascii="Trebuchet MS" w:hAnsi="Trebuchet MS" w:cs="Trebuchet MS"/>
          <w:color w:val="262626"/>
          <w:sz w:val="28"/>
          <w:szCs w:val="28"/>
        </w:rPr>
        <w:t>ultima motivazione dell’esclusione poiché le ricorrenti avevano prodotto ben sei referenze bancarie di cui la stazione appaltante aveva erroneamente ritenuto valida solo una, dovendo invece essere considerate per lo meno come valide anche quelle rilasciate dalla BNL e dalla Banca delle Marche, in quanto le stesse erano chiaramente riferibili all’oggetto dell’appalto.</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Le</w:t>
      </w:r>
      <w:proofErr w:type="gramEnd"/>
      <w:r>
        <w:rPr>
          <w:rFonts w:ascii="Trebuchet MS" w:hAnsi="Trebuchet MS" w:cs="Trebuchet MS"/>
          <w:color w:val="262626"/>
          <w:sz w:val="28"/>
          <w:szCs w:val="28"/>
        </w:rPr>
        <w:t xml:space="preserve"> istanti, pertanto, chiedevano l’annullamento del provvedimento impugnato.</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costituiva l’Amministrazione intimata, chiedendo la reiezione del gravame.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ordinanza n. 3969 del 2011 era respinta 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cautelare.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All’udienza del 19.12. 2011, fissata per la discussione, la causa era trattenuta in decisione.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Osserva il Collegio che il ricorso è infondato e non può essere accolto.</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a prescindere dall’esame delle censure contenute nel primo e nel terzo motivo, appare del tutto imprescindibile ai fini del decidere sulla legittimità dell’esclusione, la valutazione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sanzionata mancata specificazione da parte delle ricorrenti delle percentuali relative alle prestazioni (lavori e servizi) oggetto dell’appalto da eseguirsi a cura di ciascuna società del costituendo raggruppamento temporaneo di imprese.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il 4° comma </w:t>
      </w:r>
      <w:proofErr w:type="gramStart"/>
      <w:r>
        <w:rPr>
          <w:rFonts w:ascii="Trebuchet MS" w:hAnsi="Trebuchet MS" w:cs="Trebuchet MS"/>
          <w:color w:val="262626"/>
          <w:sz w:val="28"/>
          <w:szCs w:val="28"/>
        </w:rPr>
        <w:t xml:space="preserve">dell’ </w:t>
      </w:r>
      <w:proofErr w:type="gramEnd"/>
      <w:r>
        <w:rPr>
          <w:rFonts w:ascii="Trebuchet MS" w:hAnsi="Trebuchet MS" w:cs="Trebuchet MS"/>
          <w:color w:val="262626"/>
          <w:sz w:val="28"/>
          <w:szCs w:val="28"/>
        </w:rPr>
        <w:t xml:space="preserve">art. 37, d.lgs. n. 163 del 2006 recita: &lt;&lt;Nel caso di forniture o servizi nell’offerta devono essere specificate le parti del servizio o della fornitura che saranno eseguite dai singoli operatori economici riuniti o consorziati&gt;&gt;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13° comma della stessa norma statuisce che &lt;&lt;I concorrenti riuniti in raggruppamento temporaneo devono eseguire le prestazioni nella percentuale corrispondente alla quota di partecipazione al raggruppamento&gt;&gt;.</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 consegue che, senza possibilità di equivoci nell’interpretazione letterale delle riportate disposizioni, sussiste a carico delle imprese riunite l’obbligo di specificare la quantità delle prestazioni che saranno eseguite da ciascuna di esse e le quote di partecipazione.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riguardo </w:t>
      </w: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Consiglio di Stato ha avuto modo di precisare che “Tale obbligo è espressione di un principio generale che prescinde dall’assoggettamento della gara alla disciplina comunitaria e non consente distinzioni legate alla natura morfologica del raggruppamento (verticale o orizzontale), o alla tipologia delle prestazioni (principali o secondarie, scorporabili o unitarie, cfr. </w:t>
      </w:r>
      <w:proofErr w:type="spellStart"/>
      <w:r>
        <w:rPr>
          <w:rFonts w:ascii="Trebuchet MS" w:hAnsi="Trebuchet MS" w:cs="Trebuchet MS"/>
          <w:color w:val="262626"/>
          <w:sz w:val="28"/>
          <w:szCs w:val="28"/>
        </w:rPr>
        <w:t>Cons</w:t>
      </w:r>
      <w:proofErr w:type="spellEnd"/>
      <w:r>
        <w:rPr>
          <w:rFonts w:ascii="Trebuchet MS" w:hAnsi="Trebuchet MS" w:cs="Trebuchet MS"/>
          <w:color w:val="262626"/>
          <w:sz w:val="28"/>
          <w:szCs w:val="28"/>
        </w:rPr>
        <w:t>. St., Sez. V, 18 agosto 2009, n. 5098; Sez. VI, 4 maggio 2009, n. 2783; Sez. V, 14 gennaio 2009, n. 98, rese su fattispecie governate dalle analoghe disposizioni sancite dal d.lgs. n. 157 del 1995).” E che siffatte disposizioni trovano la loro ratio nella necessità di assicurare le seguenti esigenze di pubblico interesse: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conoscenza preventiva, da parte della stazione appaltante, di chi sarà il soggetto che esegue il servizio e la parte specifica del </w:t>
      </w:r>
      <w:proofErr w:type="gramStart"/>
      <w:r>
        <w:rPr>
          <w:rFonts w:ascii="Trebuchet MS" w:hAnsi="Trebuchet MS" w:cs="Trebuchet MS"/>
          <w:color w:val="262626"/>
          <w:sz w:val="28"/>
          <w:szCs w:val="28"/>
        </w:rPr>
        <w:t>servizio</w:t>
      </w:r>
      <w:proofErr w:type="gramEnd"/>
      <w:r>
        <w:rPr>
          <w:rFonts w:ascii="Trebuchet MS" w:hAnsi="Trebuchet MS" w:cs="Trebuchet MS"/>
          <w:color w:val="262626"/>
          <w:sz w:val="28"/>
          <w:szCs w:val="28"/>
        </w:rPr>
        <w:t xml:space="preserve"> ripartito e svolto dalle singole imprese al fine di rendere più spedita l’esecuzione del rapporto individuando il responsabile;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 agevole verifica, da parte del responsabile del procedimento, della competenza tecnica dell’esecutore comparata con la documentazione prodotta in sede di gara;</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 rendere effettiva la composizione del raggruppamento e rispondente alle esigenze di unire insieme capacità tecniche e finanziarie integrative e complementari e non a coprire la partecipazione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imprese non qualificate, aggirando così le norme di ammissione stabilite dal bando.” (</w:t>
      </w:r>
      <w:proofErr w:type="spellStart"/>
      <w:proofErr w:type="gramStart"/>
      <w:r>
        <w:rPr>
          <w:rFonts w:ascii="Trebuchet MS" w:hAnsi="Trebuchet MS" w:cs="Trebuchet MS"/>
          <w:color w:val="262626"/>
          <w:sz w:val="28"/>
          <w:szCs w:val="28"/>
        </w:rPr>
        <w:t>C.d.S</w:t>
      </w:r>
      <w:proofErr w:type="spellEnd"/>
      <w:proofErr w:type="gramEnd"/>
      <w:r>
        <w:rPr>
          <w:rFonts w:ascii="Trebuchet MS" w:hAnsi="Trebuchet MS" w:cs="Trebuchet MS"/>
          <w:color w:val="262626"/>
          <w:sz w:val="28"/>
          <w:szCs w:val="28"/>
        </w:rPr>
        <w:t xml:space="preserve"> Sez. V, 12 febbraio 2010, n. 744).</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 consegue che nessuna giustificazione per l’omissione può essere tratta </w:t>
      </w:r>
      <w:proofErr w:type="gramStart"/>
      <w:r>
        <w:rPr>
          <w:rFonts w:ascii="Trebuchet MS" w:hAnsi="Trebuchet MS" w:cs="Trebuchet MS"/>
          <w:color w:val="262626"/>
          <w:sz w:val="28"/>
          <w:szCs w:val="28"/>
        </w:rPr>
        <w:t xml:space="preserve">dalla </w:t>
      </w:r>
      <w:proofErr w:type="gramEnd"/>
      <w:r>
        <w:rPr>
          <w:rFonts w:ascii="Trebuchet MS" w:hAnsi="Trebuchet MS" w:cs="Trebuchet MS"/>
          <w:color w:val="262626"/>
          <w:sz w:val="28"/>
          <w:szCs w:val="28"/>
        </w:rPr>
        <w:t xml:space="preserve">avvenuta specificazione delle sole quote di spettanza dei lavori, trattandosi di appalto misto di lavori e servizi, ne’ può affermarsi che nella specie la suddivisione nell’esecuzione del servizio dovesse essere desunta dalla formulazione della dichiarazione. </w:t>
      </w:r>
      <w:proofErr w:type="gramStart"/>
      <w:r>
        <w:rPr>
          <w:rFonts w:ascii="Trebuchet MS" w:hAnsi="Trebuchet MS" w:cs="Trebuchet MS"/>
          <w:color w:val="262626"/>
          <w:sz w:val="28"/>
          <w:szCs w:val="28"/>
        </w:rPr>
        <w:t>Appare, invece, evidente, da quanto sin qui rilevato, la necessità di un’espressa e puntuale dichiarazione a riguardo, finalizzata alla tute</w:t>
      </w:r>
      <w:proofErr w:type="gramEnd"/>
      <w:r>
        <w:rPr>
          <w:rFonts w:ascii="Trebuchet MS" w:hAnsi="Trebuchet MS" w:cs="Trebuchet MS"/>
          <w:color w:val="262626"/>
          <w:sz w:val="28"/>
          <w:szCs w:val="28"/>
        </w:rPr>
        <w:t>la delle esigenze pubbliche sopra descritte.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Legittimamente, pertanto, l’amministrazione ha escluso il raggruppamento ricorrente.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conclusione, assorbita ogni </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doglianza, il ricorso deve essere respinto.</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considerazione della particolarità della fattispecie esaminata, sussistono giusti motivi per compensare le spese di lite tra le parti.</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il Lazio (Sezione Terza Quater)</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definitivamente</w:t>
      </w:r>
      <w:proofErr w:type="gramEnd"/>
      <w:r>
        <w:rPr>
          <w:rFonts w:ascii="Trebuchet MS" w:hAnsi="Trebuchet MS" w:cs="Trebuchet MS"/>
          <w:color w:val="262626"/>
          <w:sz w:val="28"/>
          <w:szCs w:val="28"/>
        </w:rPr>
        <w:t xml:space="preserve"> pronunciando sul ricorso, come in epigrafe proposto, lo respinge. Compensa le spese di lite tra le parti.</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19 dicembre 2011 con l’intervento dei magistrati:</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Italo </w:t>
      </w:r>
      <w:proofErr w:type="spellStart"/>
      <w:r>
        <w:rPr>
          <w:rFonts w:ascii="Trebuchet MS" w:hAnsi="Trebuchet MS" w:cs="Trebuchet MS"/>
          <w:color w:val="262626"/>
          <w:sz w:val="28"/>
          <w:szCs w:val="28"/>
        </w:rPr>
        <w:t>Riggio</w:t>
      </w:r>
      <w:proofErr w:type="spellEnd"/>
      <w:r>
        <w:rPr>
          <w:rFonts w:ascii="Trebuchet MS" w:hAnsi="Trebuchet MS" w:cs="Trebuchet MS"/>
          <w:color w:val="262626"/>
          <w:sz w:val="28"/>
          <w:szCs w:val="28"/>
        </w:rPr>
        <w:t>, Presidente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Maria Luisa De Leoni, Consigliere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spellStart"/>
      <w:r>
        <w:rPr>
          <w:rFonts w:ascii="Trebuchet MS" w:hAnsi="Trebuchet MS" w:cs="Trebuchet MS"/>
          <w:color w:val="262626"/>
          <w:sz w:val="28"/>
          <w:szCs w:val="28"/>
        </w:rPr>
        <w:t>Solveig</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Cogliani</w:t>
      </w:r>
      <w:proofErr w:type="spellEnd"/>
      <w:r>
        <w:rPr>
          <w:rFonts w:ascii="Trebuchet MS" w:hAnsi="Trebuchet MS" w:cs="Trebuchet MS"/>
          <w:color w:val="262626"/>
          <w:sz w:val="28"/>
          <w:szCs w:val="28"/>
        </w:rPr>
        <w:t>, Consigliere, Estensore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09/01/2012</w:t>
      </w:r>
    </w:p>
    <w:p w:rsidR="008829D1" w:rsidRDefault="008829D1" w:rsidP="008829D1">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8829D1" w:rsidP="008829D1">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D1"/>
    <w:rsid w:val="0071152D"/>
    <w:rsid w:val="008829D1"/>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1639</Words>
  <Characters>9347</Characters>
  <Application>Microsoft Macintosh Word</Application>
  <DocSecurity>0</DocSecurity>
  <Lines>77</Lines>
  <Paragraphs>21</Paragraphs>
  <ScaleCrop>false</ScaleCrop>
  <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2014-01-20T16:37:00Z</dcterms:created>
  <dcterms:modified xsi:type="dcterms:W3CDTF">2014-01-20T16:38:00Z</dcterms:modified>
</cp:coreProperties>
</file>